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Calibri" w:cs="Calibri" w:eastAsia="Calibri" w:hAnsi="Calibri"/>
          <w:b/>
          <w:bCs/>
          <w:color w:val="0F172A"/>
          <w:sz w:val="44"/>
          <w:szCs w:val="44"/>
        </w:rPr>
        <w:t xml:space="preserve">Polaris</w:t>
      </w:r>
      <w:r>
        <w:rPr>
          <w:rFonts w:ascii="Calibri" w:cs="Calibri" w:eastAsia="Calibri" w:hAnsi="Calibri"/>
          <w:b/>
          <w:bCs/>
          <w:color w:val="4F46E5"/>
          <w:sz w:val="44"/>
          <w:szCs w:val="44"/>
        </w:rPr>
        <w:t xml:space="preserve">  -  FAQ &amp; Objection Handling</w:t>
      </w:r>
    </w:p>
    <w:p>
      <w:pPr>
        <w:spacing w:after="40"/>
      </w:pPr>
      <w:r>
        <w:rPr>
          <w:rFonts w:ascii="Calibri" w:cs="Calibri" w:eastAsia="Calibri" w:hAnsi="Calibri"/>
          <w:color w:val="64748B"/>
          <w:sz w:val="20"/>
          <w:szCs w:val="20"/>
        </w:rPr>
        <w:t xml:space="preserve">Sales &amp; partner enablement  ·  by Lumanexus Technologies</w:t>
      </w:r>
    </w:p>
    <w:p>
      <w:pPr>
        <w:pBdr>
          <w:bottom w:val="single" w:color="4F46E5" w:sz="8"/>
        </w:pBdr>
        <w:spacing w:after="120"/>
      </w:pPr>
      <w:r>
        <w:rPr>
          <w:rFonts w:ascii="Calibri" w:cs="Calibri" w:eastAsia="Calibri" w:hAnsi="Calibri"/>
        </w:rPr>
        <w:t xml:space="preserve"/>
      </w:r>
    </w:p>
    <w:tbl>
      <w:tblPr>
        <w:tblW w:type="dxa" w:w="9360"/>
        <w:tblBorders>
          <w:top w:val="single" w:color="D9DEE7" w:sz="2"/>
          <w:left w:val="single" w:color="D9DEE7" w:sz="2"/>
          <w:bottom w:val="single" w:color="D9DEE7" w:sz="2"/>
          <w:right w:val="single" w:color="D9DEE7" w:sz="2"/>
          <w:insideH w:val="none"/>
          <w:insideV w:val="none"/>
        </w:tblBorders>
      </w:tblPr>
      <w:tblGrid>
        <w:gridCol w:w="9360"/>
      </w:tblGrid>
      <w:tr>
        <w:tc>
          <w:tcPr>
            <w:tcW w:type="dxa" w:w="9360"/>
            <w:shd w:fill="F1F5F9" w:val="clear"/>
            <w:tcMar>
              <w:top w:type="dxa" w:w="120"/>
              <w:left w:type="dxa" w:w="160"/>
              <w:bottom w:type="dxa" w:w="120"/>
              <w:right w:type="dxa" w:w="160"/>
            </w:tcMar>
          </w:tcPr>
          <w:p>
            <w:pPr>
              <w:spacing w:after="40"/>
            </w:pPr>
            <w:r>
              <w:rPr>
                <w:rFonts w:ascii="Calibri" w:cs="Calibri" w:eastAsia="Calibri" w:hAnsi="Calibri"/>
                <w:b/>
                <w:bCs/>
                <w:color w:val="0F172A"/>
                <w:sz w:val="20"/>
                <w:szCs w:val="20"/>
              </w:rPr>
              <w:t xml:space="preserve">How to use this sheet</w:t>
            </w:r>
          </w:p>
          <w:p>
            <w:r>
              <w:rPr>
                <w:rFonts w:ascii="Calibri" w:cs="Calibri" w:eastAsia="Calibri" w:hAnsi="Calibri"/>
                <w:color w:val="475569"/>
                <w:sz w:val="19"/>
                <w:szCs w:val="19"/>
              </w:rPr>
              <w:t xml:space="preserve">Answer honestly and concisely. Polaris earns trust by not overclaiming - a straight answer beats a big promise. Where you see </w:t>
            </w:r>
            <w:r>
              <w:rPr>
                <w:rFonts w:ascii="Calibri" w:cs="Calibri" w:eastAsia="Calibri" w:hAnsi="Calibri"/>
                <w:b/>
                <w:bCs/>
                <w:color w:val="4F46E5"/>
                <w:sz w:val="19"/>
                <w:szCs w:val="19"/>
              </w:rPr>
              <w:t xml:space="preserve">[in brackets]</w:t>
            </w:r>
            <w:r>
              <w:rPr>
                <w:rFonts w:ascii="Calibri" w:cs="Calibri" w:eastAsia="Calibri" w:hAnsi="Calibri"/>
                <w:color w:val="475569"/>
                <w:sz w:val="19"/>
                <w:szCs w:val="19"/>
              </w:rPr>
              <w:t xml:space="preserve">, the detail is still being finalised (legal or pricing) - confirm with the team before quoting. For data questions, point schools to the Privacy Policy and Security overview.</w:t>
            </w:r>
          </w:p>
        </w:tc>
      </w:tr>
    </w:tbl>
    <w:p>
      <w:pPr>
        <w:spacing w:after="140"/>
      </w:pPr>
      <w:r>
        <w:rPr>
          <w:rFonts w:ascii="Calibri" w:cs="Calibri" w:eastAsia="Calibri" w:hAnsi="Calibri"/>
        </w:rPr>
        <w:t xml:space="preserve"/>
      </w:r>
    </w:p>
    <w:p>
      <w:pPr>
        <w:pStyle w:val="Heading1"/>
        <w:spacing w:after="90" w:before="260"/>
      </w:pPr>
      <w:r>
        <w:rPr>
          <w:rFonts w:ascii="Calibri" w:cs="Calibri" w:eastAsia="Calibri" w:hAnsi="Calibri"/>
          <w:b/>
          <w:bCs/>
          <w:color w:val="4F46E5"/>
          <w:sz w:val="26"/>
          <w:szCs w:val="26"/>
        </w:rPr>
        <w:t xml:space="preserve">1.  </w:t>
      </w:r>
      <w:r>
        <w:rPr>
          <w:rFonts w:ascii="Calibri" w:cs="Calibri" w:eastAsia="Calibri" w:hAnsi="Calibri"/>
          <w:b/>
          <w:bCs/>
          <w:color w:val="4F46E5"/>
          <w:sz w:val="26"/>
          <w:szCs w:val="26"/>
        </w:rPr>
        <w:t xml:space="preserve">Accuracy &amp; content quality</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How do you make sure the content is accurate, and not “made-up AI”?</w:t>
      </w:r>
    </w:p>
    <w:p>
      <w:pPr>
        <w:spacing w:after="50"/>
      </w:pPr>
      <w:r>
        <w:rPr>
          <w:rFonts w:ascii="Calibri" w:cs="Calibri" w:eastAsia="Calibri" w:hAnsi="Calibri"/>
          <w:color w:val="475569"/>
          <w:sz w:val="20"/>
          <w:szCs w:val="20"/>
        </w:rPr>
        <w:t xml:space="preserve">Every chapter is grounded in the official prescribed textbook - not generated from open web text. Before content is used, it passes automated checks: a subject-expert reviewer, and for maths a symbolic solver that verifies the working and the answer. An independent AI reviewer checks each item, and anything thin or uncertain is flagged for teacher review rather than shipped. Teachers always see and approve content before it reaches students.</w:t>
      </w:r>
    </w:p>
    <w:p>
      <w:pPr>
        <w:spacing w:after="90"/>
      </w:pPr>
      <w:r>
        <w:rPr>
          <w:rFonts w:ascii="Calibri" w:cs="Calibri" w:eastAsia="Calibri" w:hAnsi="Calibri"/>
          <w:b/>
          <w:bCs/>
          <w:i/>
          <w:iCs/>
          <w:color w:val="64748B"/>
          <w:sz w:val="18"/>
          <w:szCs w:val="18"/>
        </w:rPr>
        <w:t xml:space="preserve">In the demo: </w:t>
      </w:r>
      <w:r>
        <w:rPr>
          <w:rFonts w:ascii="Calibri" w:cs="Calibri" w:eastAsia="Calibri" w:hAnsi="Calibri"/>
          <w:i/>
          <w:iCs/>
          <w:color w:val="64748B"/>
          <w:sz w:val="18"/>
          <w:szCs w:val="18"/>
        </w:rPr>
        <w:t xml:space="preserve">generate a chapter live and show the accuracy-check status on the output.</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Can it still make mistakes?</w:t>
      </w:r>
    </w:p>
    <w:p>
      <w:pPr>
        <w:spacing w:after="50"/>
      </w:pPr>
      <w:r>
        <w:rPr>
          <w:rFonts w:ascii="Calibri" w:cs="Calibri" w:eastAsia="Calibri" w:hAnsi="Calibri"/>
          <w:color w:val="475569"/>
          <w:sz w:val="20"/>
          <w:szCs w:val="20"/>
        </w:rPr>
        <w:t xml:space="preserve">Like any tool, it can - which is exactly why Polaris is a co-pilot, not an autopilot. Content is teacher-reviewed before use, the checks catch common errors, and uncertain output is flagged instead of shipped. We don't claim zero errors; we claim a rigorous gate and a teacher in the loop.</w:t>
      </w:r>
    </w:p>
    <w:p>
      <w:pPr>
        <w:pStyle w:val="Heading1"/>
        <w:spacing w:after="90" w:before="260"/>
      </w:pPr>
      <w:r>
        <w:rPr>
          <w:rFonts w:ascii="Calibri" w:cs="Calibri" w:eastAsia="Calibri" w:hAnsi="Calibri"/>
          <w:b/>
          <w:bCs/>
          <w:color w:val="4F46E5"/>
          <w:sz w:val="26"/>
          <w:szCs w:val="26"/>
        </w:rPr>
        <w:t xml:space="preserve">2.  </w:t>
      </w:r>
      <w:r>
        <w:rPr>
          <w:rFonts w:ascii="Calibri" w:cs="Calibri" w:eastAsia="Calibri" w:hAnsi="Calibri"/>
          <w:b/>
          <w:bCs/>
          <w:color w:val="4F46E5"/>
          <w:sz w:val="26"/>
          <w:szCs w:val="26"/>
        </w:rPr>
        <w:t xml:space="preserve">Data privacy &amp; security</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Where does our data go, and who can see it?</w:t>
      </w:r>
    </w:p>
    <w:p>
      <w:pPr>
        <w:spacing w:after="50"/>
      </w:pPr>
      <w:r>
        <w:rPr>
          <w:rFonts w:ascii="Calibri" w:cs="Calibri" w:eastAsia="Calibri" w:hAnsi="Calibri"/>
          <w:color w:val="475569"/>
          <w:sz w:val="20"/>
          <w:szCs w:val="20"/>
        </w:rPr>
        <w:t xml:space="preserve">Each school's data is isolated from every other school's - enforced in the database, not just in the software. We do not sell personal data. Running the AI relies on trusted cloud and AI providers acting as sub-processors under their terms; the specifics are set out in our Privacy Policy and Security overview. [Confirm data-residency details with legal before stating them.]</w:t>
      </w:r>
    </w:p>
    <w:p>
      <w:pPr>
        <w:spacing w:after="90"/>
      </w:pPr>
      <w:r>
        <w:rPr>
          <w:rFonts w:ascii="Calibri" w:cs="Calibri" w:eastAsia="Calibri" w:hAnsi="Calibri"/>
          <w:b/>
          <w:bCs/>
          <w:i/>
          <w:iCs/>
          <w:color w:val="64748B"/>
          <w:sz w:val="18"/>
          <w:szCs w:val="18"/>
        </w:rPr>
        <w:t xml:space="preserve">Point to: </w:t>
      </w:r>
      <w:r>
        <w:rPr>
          <w:rFonts w:ascii="Calibri" w:cs="Calibri" w:eastAsia="Calibri" w:hAnsi="Calibri"/>
          <w:i/>
          <w:iCs/>
          <w:color w:val="64748B"/>
          <w:sz w:val="18"/>
          <w:szCs w:val="18"/>
        </w:rPr>
        <w:t xml:space="preserve">the Privacy Policy and Security overview pages on the website.</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Is our students' data used to train AI models?</w:t>
      </w:r>
    </w:p>
    <w:p>
      <w:pPr>
        <w:spacing w:after="50"/>
      </w:pPr>
      <w:r>
        <w:rPr>
          <w:rFonts w:ascii="Calibri" w:cs="Calibri" w:eastAsia="Calibri" w:hAnsi="Calibri"/>
          <w:color w:val="475569"/>
          <w:sz w:val="20"/>
          <w:szCs w:val="20"/>
        </w:rPr>
        <w:t xml:space="preserve">We do not sell personal data, and student information stays scoped to your school. [The exact retention and no-training terms of our AI sub-processors are being confirmed in legal review - state them here once final, and refer to the Privacy Policy in the meantime.]</w:t>
      </w:r>
    </w:p>
    <w:p>
      <w:pPr>
        <w:pStyle w:val="Heading1"/>
        <w:spacing w:after="90" w:before="260"/>
      </w:pPr>
      <w:r>
        <w:rPr>
          <w:rFonts w:ascii="Calibri" w:cs="Calibri" w:eastAsia="Calibri" w:hAnsi="Calibri"/>
          <w:b/>
          <w:bCs/>
          <w:color w:val="4F46E5"/>
          <w:sz w:val="26"/>
          <w:szCs w:val="26"/>
        </w:rPr>
        <w:t xml:space="preserve">3.  </w:t>
      </w:r>
      <w:r>
        <w:rPr>
          <w:rFonts w:ascii="Calibri" w:cs="Calibri" w:eastAsia="Calibri" w:hAnsi="Calibri"/>
          <w:b/>
          <w:bCs/>
          <w:color w:val="4F46E5"/>
          <w:sz w:val="26"/>
          <w:szCs w:val="26"/>
        </w:rPr>
        <w:t xml:space="preserve">Child safety</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Is the student tutor safe for children?</w:t>
      </w:r>
    </w:p>
    <w:p>
      <w:pPr>
        <w:spacing w:after="50"/>
      </w:pPr>
      <w:r>
        <w:rPr>
          <w:rFonts w:ascii="Calibri" w:cs="Calibri" w:eastAsia="Calibri" w:hAnsi="Calibri"/>
          <w:color w:val="475569"/>
          <w:sz w:val="20"/>
          <w:szCs w:val="20"/>
        </w:rPr>
        <w:t xml:space="preserve">Yes - Nova, the student tutor, runs with safeguarding guardrails on every interaction, designed to keep responses age-appropriate and on-syllabus. Teachers and leaders see chapter-level progress without exposing individual student data.</w:t>
      </w:r>
    </w:p>
    <w:p>
      <w:pPr>
        <w:pStyle w:val="Heading1"/>
        <w:spacing w:after="90" w:before="260"/>
      </w:pPr>
      <w:r>
        <w:rPr>
          <w:rFonts w:ascii="Calibri" w:cs="Calibri" w:eastAsia="Calibri" w:hAnsi="Calibri"/>
          <w:b/>
          <w:bCs/>
          <w:color w:val="4F46E5"/>
          <w:sz w:val="26"/>
          <w:szCs w:val="26"/>
        </w:rPr>
        <w:t xml:space="preserve">4.  </w:t>
      </w:r>
      <w:r>
        <w:rPr>
          <w:rFonts w:ascii="Calibri" w:cs="Calibri" w:eastAsia="Calibri" w:hAnsi="Calibri"/>
          <w:b/>
          <w:bCs/>
          <w:color w:val="4F46E5"/>
          <w:sz w:val="26"/>
          <w:szCs w:val="26"/>
        </w:rPr>
        <w:t xml:space="preserve">“Will it replace our teachers?”</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Are you trying to replace teachers?</w:t>
      </w:r>
    </w:p>
    <w:p>
      <w:pPr>
        <w:spacing w:after="50"/>
      </w:pPr>
      <w:r>
        <w:rPr>
          <w:rFonts w:ascii="Calibri" w:cs="Calibri" w:eastAsia="Calibri" w:hAnsi="Calibri"/>
          <w:color w:val="475569"/>
          <w:sz w:val="20"/>
          <w:szCs w:val="20"/>
        </w:rPr>
        <w:t xml:space="preserve">No. Polaris is a co-pilot, not a replacement. It takes the repetitive prep off teachers' plates - worksheets, question papers, revision material, decks - so they spend more time actually teaching and helping students. Teachers stay in control: they choose what to generate, review it, and decide how to use it. The promise is simple: give teachers their time back.</w:t>
      </w:r>
    </w:p>
    <w:p>
      <w:pPr>
        <w:spacing w:after="90"/>
      </w:pPr>
      <w:r>
        <w:rPr>
          <w:rFonts w:ascii="Calibri" w:cs="Calibri" w:eastAsia="Calibri" w:hAnsi="Calibri"/>
          <w:b/>
          <w:bCs/>
          <w:i/>
          <w:iCs/>
          <w:color w:val="64748B"/>
          <w:sz w:val="18"/>
          <w:szCs w:val="18"/>
        </w:rPr>
        <w:t xml:space="preserve">Reframe: </w:t>
      </w:r>
      <w:r>
        <w:rPr>
          <w:rFonts w:ascii="Calibri" w:cs="Calibri" w:eastAsia="Calibri" w:hAnsi="Calibri"/>
          <w:i/>
          <w:iCs/>
          <w:color w:val="64748B"/>
          <w:sz w:val="18"/>
          <w:szCs w:val="18"/>
        </w:rPr>
        <w:t xml:space="preserve">“Polaris does the prep; your teachers do the teaching.”</w:t>
      </w:r>
    </w:p>
    <w:p>
      <w:pPr>
        <w:pStyle w:val="Heading1"/>
        <w:spacing w:after="90" w:before="260"/>
      </w:pPr>
      <w:r>
        <w:rPr>
          <w:rFonts w:ascii="Calibri" w:cs="Calibri" w:eastAsia="Calibri" w:hAnsi="Calibri"/>
          <w:b/>
          <w:bCs/>
          <w:color w:val="4F46E5"/>
          <w:sz w:val="26"/>
          <w:szCs w:val="26"/>
        </w:rPr>
        <w:t xml:space="preserve">5.  </w:t>
      </w:r>
      <w:r>
        <w:rPr>
          <w:rFonts w:ascii="Calibri" w:cs="Calibri" w:eastAsia="Calibri" w:hAnsi="Calibri"/>
          <w:b/>
          <w:bCs/>
          <w:color w:val="4F46E5"/>
          <w:sz w:val="26"/>
          <w:szCs w:val="26"/>
        </w:rPr>
        <w:t xml:space="preserve">Board alignment &amp; curriculum</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Is it aligned to our board?</w:t>
      </w:r>
    </w:p>
    <w:p>
      <w:pPr>
        <w:spacing w:after="50"/>
      </w:pPr>
      <w:r>
        <w:rPr>
          <w:rFonts w:ascii="Calibri" w:cs="Calibri" w:eastAsia="Calibri" w:hAnsi="Calibri"/>
          <w:color w:val="475569"/>
          <w:sz w:val="20"/>
          <w:szCs w:val="20"/>
        </w:rPr>
        <w:t xml:space="preserve">Yes. Polaris follows the CBSE and Karnataka State Board (KSEEB) syllabi and works in English, Hindi and Kannada. For Grade 10, Mission 625 papers follow the official KSEEB blueprint. New boards onboard the same way. [Confirm current live board and grade coverage before promising a specific board.]</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What about our school's own mission and values?</w:t>
      </w:r>
    </w:p>
    <w:p>
      <w:pPr>
        <w:spacing w:after="50"/>
      </w:pPr>
      <w:r>
        <w:rPr>
          <w:rFonts w:ascii="Calibri" w:cs="Calibri" w:eastAsia="Calibri" w:hAnsi="Calibri"/>
          <w:color w:val="475569"/>
          <w:sz w:val="20"/>
          <w:szCs w:val="20"/>
        </w:rPr>
        <w:t xml:space="preserve">Content is tagged to your school's mission, vision and values, and leadership can see whether everyday teaching reflects them - so the platform reinforces your identity rather than replacing it.</w:t>
      </w:r>
    </w:p>
    <w:p>
      <w:pPr>
        <w:pStyle w:val="Heading1"/>
        <w:spacing w:after="90" w:before="260"/>
      </w:pPr>
      <w:r>
        <w:rPr>
          <w:rFonts w:ascii="Calibri" w:cs="Calibri" w:eastAsia="Calibri" w:hAnsi="Calibri"/>
          <w:b/>
          <w:bCs/>
          <w:color w:val="4F46E5"/>
          <w:sz w:val="26"/>
          <w:szCs w:val="26"/>
        </w:rPr>
        <w:t xml:space="preserve">6.  </w:t>
      </w:r>
      <w:r>
        <w:rPr>
          <w:rFonts w:ascii="Calibri" w:cs="Calibri" w:eastAsia="Calibri" w:hAnsi="Calibri"/>
          <w:b/>
          <w:bCs/>
          <w:color w:val="4F46E5"/>
          <w:sz w:val="26"/>
          <w:szCs w:val="26"/>
        </w:rPr>
        <w:t xml:space="preserve">Pricing &amp; value</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How does pricing work?</w:t>
      </w:r>
    </w:p>
    <w:p>
      <w:pPr>
        <w:spacing w:after="50"/>
      </w:pPr>
      <w:r>
        <w:rPr>
          <w:rFonts w:ascii="Calibri" w:cs="Calibri" w:eastAsia="Calibri" w:hAnsi="Calibri"/>
          <w:color w:val="475569"/>
          <w:sz w:val="20"/>
          <w:szCs w:val="20"/>
        </w:rPr>
        <w:t xml:space="preserve">A base annual subscription per school includes a monthly allowance of credits for everyday Teaching Kit use. Heavier or optional features - Aurora concept videos, the Nova tutor, and Mission 625 - draw from a shared prepaid credit wallet that the school tops up as needed. Pricing is transparent and prepaid, so there is no bill shock. [Refer to the current price list for tier figures.]</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Isn't AI expensive to run - won't costs surprise us?</w:t>
      </w:r>
    </w:p>
    <w:p>
      <w:pPr>
        <w:spacing w:after="50"/>
      </w:pPr>
      <w:r>
        <w:rPr>
          <w:rFonts w:ascii="Calibri" w:cs="Calibri" w:eastAsia="Calibri" w:hAnsi="Calibri"/>
          <w:color w:val="475569"/>
          <w:sz w:val="20"/>
          <w:szCs w:val="20"/>
        </w:rPr>
        <w:t xml:space="preserve">No. Usage is metered per feature and prepaid. A school only pays beyond its included allowance if it chooses to, and the wallet caps spend - you cannot overspend by accident. You always see what a given piece of content costs before generating a lot of it.</w:t>
      </w:r>
    </w:p>
    <w:p>
      <w:pPr>
        <w:pStyle w:val="Heading1"/>
        <w:spacing w:after="90" w:before="260"/>
      </w:pPr>
      <w:r>
        <w:rPr>
          <w:rFonts w:ascii="Calibri" w:cs="Calibri" w:eastAsia="Calibri" w:hAnsi="Calibri"/>
          <w:b/>
          <w:bCs/>
          <w:color w:val="4F46E5"/>
          <w:sz w:val="26"/>
          <w:szCs w:val="26"/>
        </w:rPr>
        <w:t xml:space="preserve">7.  </w:t>
      </w:r>
      <w:r>
        <w:rPr>
          <w:rFonts w:ascii="Calibri" w:cs="Calibri" w:eastAsia="Calibri" w:hAnsi="Calibri"/>
          <w:b/>
          <w:bCs/>
          <w:color w:val="4F46E5"/>
          <w:sz w:val="26"/>
          <w:szCs w:val="26"/>
        </w:rPr>
        <w:t xml:space="preserve">Getting started &amp; support</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How hard is it to roll out?</w:t>
      </w:r>
    </w:p>
    <w:p>
      <w:pPr>
        <w:spacing w:after="50"/>
      </w:pPr>
      <w:r>
        <w:rPr>
          <w:rFonts w:ascii="Calibri" w:cs="Calibri" w:eastAsia="Calibri" w:hAnsi="Calibri"/>
          <w:color w:val="475569"/>
          <w:sz w:val="20"/>
          <w:szCs w:val="20"/>
        </w:rPr>
        <w:t xml:space="preserve">We start with a pilot. Onboarding sets up your school profile, board and mission, and includes a short training session. Support is provided by [email / WhatsApp / dedicated onboarding] depending on your plan.</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What if our teachers aren't very tech-savvy?</w:t>
      </w:r>
    </w:p>
    <w:p>
      <w:pPr>
        <w:spacing w:after="50"/>
      </w:pPr>
      <w:r>
        <w:rPr>
          <w:rFonts w:ascii="Calibri" w:cs="Calibri" w:eastAsia="Calibri" w:hAnsi="Calibri"/>
          <w:color w:val="475569"/>
          <w:sz w:val="20"/>
          <w:szCs w:val="20"/>
        </w:rPr>
        <w:t xml:space="preserve">The Teaching Kit is deliberately simple: pick a chapter, choose what to make. It is designed for teachers, not engineers, and we provide training and ready-made demo scripts.</w:t>
      </w:r>
    </w:p>
    <w:p>
      <w:pPr>
        <w:pStyle w:val="Heading1"/>
        <w:spacing w:after="90" w:before="260"/>
      </w:pPr>
      <w:r>
        <w:rPr>
          <w:rFonts w:ascii="Calibri" w:cs="Calibri" w:eastAsia="Calibri" w:hAnsi="Calibri"/>
          <w:b/>
          <w:bCs/>
          <w:color w:val="4F46E5"/>
          <w:sz w:val="26"/>
          <w:szCs w:val="26"/>
        </w:rPr>
        <w:t xml:space="preserve">8.  </w:t>
      </w:r>
      <w:r>
        <w:rPr>
          <w:rFonts w:ascii="Calibri" w:cs="Calibri" w:eastAsia="Calibri" w:hAnsi="Calibri"/>
          <w:b/>
          <w:bCs/>
          <w:color w:val="4F46E5"/>
          <w:sz w:val="26"/>
          <w:szCs w:val="26"/>
        </w:rPr>
        <w:t xml:space="preserve">Why Polaris, not a general AI chatbot</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Why not just use ChatGPT or a free chatbot?</w:t>
      </w:r>
    </w:p>
    <w:p>
      <w:pPr>
        <w:spacing w:after="50"/>
      </w:pPr>
      <w:r>
        <w:rPr>
          <w:rFonts w:ascii="Calibri" w:cs="Calibri" w:eastAsia="Calibri" w:hAnsi="Calibri"/>
          <w:color w:val="475569"/>
          <w:sz w:val="20"/>
          <w:szCs w:val="20"/>
        </w:rPr>
        <w:t xml:space="preserve">A general chatbot isn't grounded in your board's textbooks, isn't accuracy-gated for classroom use, has no board-blueprint exam papers, no child-safety guardrails for students, no per-school data isolation, and no shared workflow for teachers, leadership and parents. Polaris is purpose-built pedagogy: grounded, checked, board-aligned, safe and private - with the whole school working in one place.</w:t>
      </w:r>
    </w:p>
    <w:p>
      <w:pPr>
        <w:spacing w:after="90"/>
      </w:pPr>
      <w:r>
        <w:rPr>
          <w:rFonts w:ascii="Calibri" w:cs="Calibri" w:eastAsia="Calibri" w:hAnsi="Calibri"/>
          <w:b/>
          <w:bCs/>
          <w:i/>
          <w:iCs/>
          <w:color w:val="64748B"/>
          <w:sz w:val="18"/>
          <w:szCs w:val="18"/>
        </w:rPr>
        <w:t xml:space="preserve">One-liner: </w:t>
      </w:r>
      <w:r>
        <w:rPr>
          <w:rFonts w:ascii="Calibri" w:cs="Calibri" w:eastAsia="Calibri" w:hAnsi="Calibri"/>
          <w:i/>
          <w:iCs/>
          <w:color w:val="64748B"/>
          <w:sz w:val="18"/>
          <w:szCs w:val="18"/>
        </w:rPr>
        <w:t xml:space="preserve">“A chatbot answers questions. Polaris runs your school's teaching, safely.”</w:t>
      </w:r>
    </w:p>
    <w:p>
      <w:pPr>
        <w:pStyle w:val="Heading1"/>
        <w:spacing w:after="90" w:before="260"/>
      </w:pPr>
      <w:r>
        <w:rPr>
          <w:rFonts w:ascii="Calibri" w:cs="Calibri" w:eastAsia="Calibri" w:hAnsi="Calibri"/>
          <w:b/>
          <w:bCs/>
          <w:color w:val="4F46E5"/>
          <w:sz w:val="26"/>
          <w:szCs w:val="26"/>
        </w:rPr>
        <w:t xml:space="preserve">9.  </w:t>
      </w:r>
      <w:r>
        <w:rPr>
          <w:rFonts w:ascii="Calibri" w:cs="Calibri" w:eastAsia="Calibri" w:hAnsi="Calibri"/>
          <w:b/>
          <w:bCs/>
          <w:color w:val="4F46E5"/>
          <w:sz w:val="26"/>
          <w:szCs w:val="26"/>
        </w:rPr>
        <w:t xml:space="preserve">Reliability</w:t>
      </w:r>
    </w:p>
    <w:p>
      <w:pPr>
        <w:spacing w:after="40" w:before="130"/>
      </w:pPr>
      <w:r>
        <w:rPr>
          <w:rFonts w:ascii="Calibri" w:cs="Calibri" w:eastAsia="Calibri" w:hAnsi="Calibri"/>
          <w:b/>
          <w:bCs/>
          <w:color w:val="0E7490"/>
          <w:sz w:val="21"/>
          <w:szCs w:val="21"/>
        </w:rPr>
        <w:t xml:space="preserve">Q.  </w:t>
      </w:r>
      <w:r>
        <w:rPr>
          <w:rFonts w:ascii="Calibri" w:cs="Calibri" w:eastAsia="Calibri" w:hAnsi="Calibri"/>
          <w:b/>
          <w:bCs/>
          <w:color w:val="0F172A"/>
          <w:sz w:val="21"/>
          <w:szCs w:val="21"/>
        </w:rPr>
        <w:t xml:space="preserve">Is it reliable at scale?</w:t>
      </w:r>
    </w:p>
    <w:p>
      <w:pPr>
        <w:spacing w:after="50"/>
      </w:pPr>
      <w:r>
        <w:rPr>
          <w:rFonts w:ascii="Calibri" w:cs="Calibri" w:eastAsia="Calibri" w:hAnsi="Calibri"/>
          <w:color w:val="475569"/>
          <w:sz w:val="20"/>
          <w:szCs w:val="20"/>
        </w:rPr>
        <w:t xml:space="preserve">Yes. Long generations - papers, decks, concept videos - run as background jobs so they complete reliably even under load, and the platform runs on Google Cloud with regular backups. [Confirm any uptime or SLA commitments before stating them.]</w:t>
      </w:r>
    </w:p>
    <w:p>
      <w:r>
        <w:br w:type="page"/>
      </w:r>
    </w:p>
    <w:p>
      <w:pPr>
        <w:pStyle w:val="Heading1"/>
        <w:spacing w:after="120"/>
      </w:pPr>
      <w:r>
        <w:rPr>
          <w:rFonts w:ascii="Calibri" w:cs="Calibri" w:eastAsia="Calibri" w:hAnsi="Calibri"/>
          <w:b/>
          <w:bCs/>
          <w:color w:val="4F46E5"/>
          <w:sz w:val="26"/>
          <w:szCs w:val="26"/>
        </w:rPr>
        <w:t xml:space="preserve">Quick reference  -  objection to one-line response</w:t>
      </w:r>
    </w:p>
    <w:tbl>
      <w:tblPr>
        <w:tblW w:type="dxa" w:w="9360"/>
        <w:tblBorders>
          <w:top w:val="single" w:color="D9DEE7" w:sz="2"/>
          <w:left w:val="single" w:color="D9DEE7" w:sz="2"/>
          <w:bottom w:val="single" w:color="D9DEE7" w:sz="2"/>
          <w:right w:val="single" w:color="D9DEE7" w:sz="2"/>
          <w:insideH w:val="single" w:color="D9DEE7" w:sz="2"/>
          <w:insideV w:val="single" w:color="D9DEE7" w:sz="2"/>
        </w:tblBorders>
      </w:tblPr>
      <w:tblGrid>
        <w:gridCol w:w="3000"/>
        <w:gridCol w:w="6360"/>
      </w:tblGrid>
      <w:tr>
        <w:trPr>
          <w:tblHeader/>
        </w:trPr>
        <w:tc>
          <w:tcPr>
            <w:tcW w:type="dxa" w:w="3000"/>
            <w:shd w:fill="4F46E5" w:val="clear"/>
            <w:tcMar>
              <w:top w:type="dxa" w:w="70"/>
              <w:left w:type="dxa" w:w="120"/>
              <w:bottom w:type="dxa" w:w="70"/>
              <w:right w:type="dxa" w:w="120"/>
            </w:tcMar>
          </w:tcPr>
          <w:p>
            <w:r>
              <w:rPr>
                <w:rFonts w:ascii="Calibri" w:cs="Calibri" w:eastAsia="Calibri" w:hAnsi="Calibri"/>
                <w:b/>
                <w:bCs/>
                <w:color w:val="FFFFFF"/>
                <w:sz w:val="19"/>
                <w:szCs w:val="19"/>
              </w:rPr>
              <w:t xml:space="preserve">Objection</w:t>
            </w:r>
          </w:p>
        </w:tc>
        <w:tc>
          <w:tcPr>
            <w:tcW w:type="dxa" w:w="6360"/>
            <w:shd w:fill="4F46E5" w:val="clear"/>
            <w:tcMar>
              <w:top w:type="dxa" w:w="70"/>
              <w:left w:type="dxa" w:w="120"/>
              <w:bottom w:type="dxa" w:w="70"/>
              <w:right w:type="dxa" w:w="120"/>
            </w:tcMar>
          </w:tcPr>
          <w:p>
            <w:r>
              <w:rPr>
                <w:rFonts w:ascii="Calibri" w:cs="Calibri" w:eastAsia="Calibri" w:hAnsi="Calibri"/>
                <w:b/>
                <w:bCs/>
                <w:color w:val="FFFFFF"/>
                <w:sz w:val="19"/>
                <w:szCs w:val="19"/>
              </w:rPr>
              <w:t xml:space="preserve">One-line response</w:t>
            </w:r>
          </w:p>
        </w:tc>
      </w:tr>
      <w:tr>
        <w:trPr>
          <w:tblHeader w:val="false"/>
        </w:trPr>
        <w:tc>
          <w:tcPr>
            <w:tcW w:type="dxa" w:w="300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“AI makes things up.”</w:t>
            </w:r>
          </w:p>
        </w:tc>
        <w:tc>
          <w:tcPr>
            <w:tcW w:type="dxa" w:w="636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Grounded in the official textbook and accuracy-checked; uncertain output is flagged, and a teacher approves it.</w:t>
            </w:r>
          </w:p>
        </w:tc>
      </w:tr>
      <w:tr>
        <w:trPr>
          <w:tblHeader w:val="false"/>
        </w:trPr>
        <w:tc>
          <w:tcPr>
            <w:tcW w:type="dxa" w:w="3000"/>
            <w:shd w:fill="F6F8FC"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“What about our data?”</w:t>
            </w:r>
          </w:p>
        </w:tc>
        <w:tc>
          <w:tcPr>
            <w:tcW w:type="dxa" w:w="6360"/>
            <w:shd w:fill="F6F8FC"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Isolated per school, never sold. See the Privacy Policy and Security overview.</w:t>
            </w:r>
          </w:p>
        </w:tc>
      </w:tr>
      <w:tr>
        <w:trPr>
          <w:tblHeader w:val="false"/>
        </w:trPr>
        <w:tc>
          <w:tcPr>
            <w:tcW w:type="dxa" w:w="300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“Will it replace teachers?”</w:t>
            </w:r>
          </w:p>
        </w:tc>
        <w:tc>
          <w:tcPr>
            <w:tcW w:type="dxa" w:w="636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It replaces the prep, not the teacher - teachers stay in control and get their time back.</w:t>
            </w:r>
          </w:p>
        </w:tc>
      </w:tr>
      <w:tr>
        <w:trPr>
          <w:tblHeader w:val="false"/>
        </w:trPr>
        <w:tc>
          <w:tcPr>
            <w:tcW w:type="dxa" w:w="3000"/>
            <w:shd w:fill="F6F8FC"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“Is it aligned to our board?”</w:t>
            </w:r>
          </w:p>
        </w:tc>
        <w:tc>
          <w:tcPr>
            <w:tcW w:type="dxa" w:w="6360"/>
            <w:shd w:fill="F6F8FC"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CBSE and Karnataka State Board, in three languages; Grade 10 to the KSEEB blueprint.</w:t>
            </w:r>
          </w:p>
        </w:tc>
      </w:tr>
      <w:tr>
        <w:trPr>
          <w:tblHeader w:val="false"/>
        </w:trPr>
        <w:tc>
          <w:tcPr>
            <w:tcW w:type="dxa" w:w="300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“AI must be expensive.”</w:t>
            </w:r>
          </w:p>
        </w:tc>
        <w:tc>
          <w:tcPr>
            <w:tcW w:type="dxa" w:w="636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Prepaid and metered - the wallet caps spend; you only pay for what you use beyond the plan.</w:t>
            </w:r>
          </w:p>
        </w:tc>
      </w:tr>
      <w:tr>
        <w:trPr>
          <w:tblHeader w:val="false"/>
        </w:trPr>
        <w:tc>
          <w:tcPr>
            <w:tcW w:type="dxa" w:w="3000"/>
            <w:shd w:fill="F6F8FC"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“Why not just use ChatGPT?”</w:t>
            </w:r>
          </w:p>
        </w:tc>
        <w:tc>
          <w:tcPr>
            <w:tcW w:type="dxa" w:w="6360"/>
            <w:shd w:fill="F6F8FC"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A chatbot isn't grounded, checked, board-aligned, child-safe or school-private. Polaris is.</w:t>
            </w:r>
          </w:p>
        </w:tc>
      </w:tr>
      <w:tr>
        <w:trPr>
          <w:tblHeader w:val="false"/>
        </w:trPr>
        <w:tc>
          <w:tcPr>
            <w:tcW w:type="dxa" w:w="300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“Is it safe for children?”</w:t>
            </w:r>
          </w:p>
        </w:tc>
        <w:tc>
          <w:tcPr>
            <w:tcW w:type="dxa" w:w="6360"/>
            <w:shd w:fill="FFFFFF" w:val="clear"/>
            <w:tcMar>
              <w:top w:type="dxa" w:w="70"/>
              <w:left w:type="dxa" w:w="120"/>
              <w:bottom w:type="dxa" w:w="70"/>
              <w:right w:type="dxa" w:w="120"/>
            </w:tcMar>
          </w:tcPr>
          <w:p>
            <w:r>
              <w:rPr>
                <w:rFonts w:ascii="Calibri" w:cs="Calibri" w:eastAsia="Calibri" w:hAnsi="Calibri"/>
                <w:b w:val="false"/>
                <w:bCs w:val="false"/>
                <w:color w:val="0F172A"/>
                <w:sz w:val="19"/>
                <w:szCs w:val="19"/>
              </w:rPr>
              <w:t xml:space="preserve">The student tutor runs with safeguarding guardrails on every interaction.</w:t>
            </w:r>
          </w:p>
        </w:tc>
      </w:tr>
    </w:tbl>
    <w:sectPr>
      <w:headerReference w:type="default" r:id="rId7"/>
      <w:footerReference w:type="default" r:id="rId8"/>
      <w:pgSz w:w="11906" w:h="16838"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EE7" w:sz="4"/>
      </w:pBdr>
    </w:pPr>
    <w:r>
      <w:rPr>
        <w:rFonts w:ascii="Calibri" w:cs="Calibri" w:eastAsia="Calibri" w:hAnsi="Calibri"/>
        <w:color w:val="64748B"/>
        <w:sz w:val="15"/>
        <w:szCs w:val="15"/>
      </w:rPr>
      <w:t xml:space="preserve">Lumanexus Technologies   ·   Confidential - internal sales &amp; partner use   ·   hello@lumanexus.tech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4748B"/>
        <w:sz w:val="15"/>
        <w:szCs w:val="15"/>
      </w:rPr>
      <w:t xml:space="preserve">Polaris  ·  FAQ &amp; Objection Handling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Polaris - FAQ &amp; Objection Handling</dc:title>
  <dc:creator>Lumanexus Technologies</dc:creator>
  <cp:lastModifiedBy>Un-named</cp:lastModifiedBy>
  <cp:revision>1</cp:revision>
  <dcterms:created xsi:type="dcterms:W3CDTF">2026-09-27T15:10:12.615Z</dcterms:created>
  <dcterms:modified xsi:type="dcterms:W3CDTF">2026-09-27T15:10:12.615Z</dcterms:modified>
</cp:coreProperties>
</file>

<file path=docProps/custom.xml><?xml version="1.0" encoding="utf-8"?>
<Properties xmlns="http://schemas.openxmlformats.org/officeDocument/2006/custom-properties" xmlns:vt="http://schemas.openxmlformats.org/officeDocument/2006/docPropsVTypes"/>
</file>